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95F" w:rsidRDefault="009E6C8C" w:rsidP="009E6C8C">
      <w:pPr>
        <w:ind w:left="0" w:hanging="2"/>
        <w:jc w:val="center"/>
        <w:rPr>
          <w:rFonts w:eastAsia="Arial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7359650" cy="10103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11012 (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104" cy="101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lastRenderedPageBreak/>
        <w:t>3.1. Персональные данные субъектов персональных данных хранятся не дольше, чем этого требуют цели их обработки, и подлежат уничтожению по истечении срока хранения, достижении целей обработки или в случае утраты необходимости в их достижении.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3.2. Носители, содержащие персональные данные субъектов персональных данных, уничтожаются в специально отведенном для этих целей помещении комиссией по уничтожению персональных данных, утвержденной приказом директора Общества (далее – Комиссия).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3.3. Носители, содержащие персональные данные субъектов персональных данных, уничтожаются Комиссией в срок, не превышающий 30 дней с даты истечения срока хранения, достижения цели обработки персональных данных либо утраты необходимости в их достижении.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3.4. Комиссия производит отбор бумажных носителей персональных данных, подлежащих уничтожению, с указанием оснований для уничтожения.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3.5. На все отобранные к уничтожению документы составляется акт о выделении документов, содержащих персональные данные субъектов персональных данных, к уничтожению.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3.6. В актах о выделении документов, содержащих персональные данные субъектов персональных данных, к уничтожению и актах об уничтожении носителей, содержащих персональные данные субъектов персональных данных, исправления не допускаются.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3.7. Комиссия проверяет наличие всех документов, включенных в акт о выделении носителей, содержащих персональные данные субъектов персональных данных, к уничтожению.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3.8. По окончании сверки акт о выделении документов, содержащих персональные данные субъектов персональных данных, к уничтожению подписывается всеми членами Комиссии и утверждается проректором по направлению.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3.9. Носители, содержащие персональные данные субъектов персональных данных, отобранные для уничтожения и включенные в акт, после проверки их Комиссией передаются ответственному за уничтожение документов в помещение отдела кадров.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3.10. Уничтожение носителей, содержащих персональные данные субъектов персональных данных, производится после утверждения акта в присутствии всех членов Комиссии, которые несут персональную ответственность за правильность и полноту уничтожения перечисленных в акте носителей.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3.11. Уничтожение персональных данных, если это допускается материальным носителем, может производиться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вымарывание).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3.12. Уничтожение носителей, содержащих персональные данные, осуществляется в следующем порядке: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уничтожение персональных данных, содержащихся на бумажных носителях, осуществляется путем измельчения на мелкие части, исключающие возможность последующего восстановления информации. Измельчение осуществляется с использованием шредера (уничтожителя документов), установленного в помещении отдела кадров, либо документы передаются на переработку (утилизацию) организациям, собирающим вторсырье (пункты приема макулатуры);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уничтожение персональных данных, содержащихся на машиночитаемых носителях, осуществляется путем нанесения им неустранимого физического повреждения, исключающего возможность их использования, а также восстановления данных. Вышеуказанное достигается путем деформирования, нарушения единой целостности носителя;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подлежащие уничтожению файлы с персональными данными субъектов персональных данных, расположенные на жестком диске, удаляются средствами операционной системы компьютера с последующим «очищением корзины»;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в случае допустимости повторного использования носителя CD-RW, DVD-RW применяется программное удаление («затирание») содержимого диска путем его форматирования с последующей записью новой информации на данный носитель.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b/>
          <w:color w:val="000000"/>
          <w:sz w:val="20"/>
          <w:szCs w:val="20"/>
        </w:rPr>
        <w:t>4. Порядок сдачи макулатуры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4.1. Документы по истечении срока хранения, достижении целей обработки или в случае утраты необходимости в их достижении подлежат уничтожению путем сдачи организациям, собирающим вторсырье (пункты приема макулатуры).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4.2. Выделенные документы по акту о выделении документов, содержащих персональные данные субъектов персональных данных, к уничтожению передаются к уничтожению в упакованном виде.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4.3. Документы, подлежащие вывозу, не должны содержать бумагу и картон, не пригодные для переработки; бумагу и картон, покрытые полиэтиленом и другими полимерными пленками; материал, выделяющий ядовитые и токсичные вещества.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4.4. Документы, подлежащие вывозу, не должны содержать: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тряпье, веревку, шпагат из лубяных волокон и полимеров;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металлические и деревянные изделия, кусочки стекла и керамики, камень, уголь, слюду, целлофан, целлулоид, полимерные материалы в виде изделий (пленок, гранул), пенопласт, искусственную и натуральную кожу, клеенку, битум, парафин, остатки химических и минеральных веществ и красок;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влажность документов, подлежащая вывозу, должна быть не более 10 процентов.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4.5. Сдача оформляется приемо-сдаточными накладными, данные которых (дата сдачи, номер накладной, вес сданной макулатуры) указываются в акте о выделении документов, содержащих персональные данные субъектов персональных данных, к уничтожению.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lastRenderedPageBreak/>
        <w:t>4.6. Погрузка и вывоз документов осуществляются под контролем лица, ответственного за обеспечение сохранности документов структурного подразделения.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4.7. Отобранные к уничтожению документы перед сдачей на переработку в качестве макулатуры должны в обязательном порядке измельчаться до степени, исключающей возможность прочтения текста.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b/>
          <w:color w:val="000000"/>
          <w:sz w:val="20"/>
          <w:szCs w:val="20"/>
        </w:rPr>
        <w:t>5. Порядок оформления документов об уничтожении персональных данных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5.1. Об уничтожении носителей, содержащих персональные данные, Комиссия составляет и подписывает акт об уничтожении носителей, содержащих персональные данные субъектов персональных данных, который утверждается директором Общества.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5.2. Акт об уничтожении носителей, содержащих персональные данные субъектов персональных данных, составляется по установленной форме.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В акте указываются: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дата, место и время уничтожения;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должности, фамилии, инициалы членов Комиссии;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вид и количество уничтожаемых носителей, содержащих персональные данные субъектов персональных данных;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основание для уничтожения;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– способ уничтожения.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 xml:space="preserve">5.3. Факт уничтожения носителей, содержащих персональные данные субъектов персональных данных, фиксируется в журнале учета документов, переданных на уничтожение. Данный документ является документом конфиденциального характера и вместе с актами хранится в помещении отдела кадров в течение одного года. По истечении срока хранения акт о выделении документов, содержащих персональные данные субъектов персональных данных, к уничтожению и акт об уничтожении носителей, содержащих персональные данные субъектов персональных данных, передаются в архив </w:t>
      </w:r>
      <w:r w:rsidR="00DC0677">
        <w:rPr>
          <w:rFonts w:eastAsia="Arial"/>
          <w:color w:val="000000"/>
          <w:sz w:val="20"/>
          <w:szCs w:val="20"/>
        </w:rPr>
        <w:t>МБОУ Михайловская средняя школа</w:t>
      </w:r>
      <w:r>
        <w:rPr>
          <w:rFonts w:eastAsia="Arial"/>
          <w:color w:val="000000"/>
          <w:sz w:val="20"/>
          <w:szCs w:val="20"/>
        </w:rPr>
        <w:t>на хранение.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b/>
          <w:color w:val="000000"/>
          <w:sz w:val="20"/>
          <w:szCs w:val="20"/>
        </w:rPr>
        <w:t>6. Ответственность руководителей структурных подразделений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6.1. Ответственным лицом за организацию хранения документов является руководитель структурного подразделения.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6.2. Руководитель структурного подразделения может быть привлечен к административной ответственности за нарушение требований по организации хранения документов, содержащих персональные данные.</w:t>
      </w:r>
    </w:p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СОГЛАСОВАНО:</w:t>
      </w:r>
    </w:p>
    <w:tbl>
      <w:tblPr>
        <w:tblStyle w:val="af0"/>
        <w:tblW w:w="895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156"/>
        <w:gridCol w:w="1448"/>
        <w:gridCol w:w="3348"/>
      </w:tblGrid>
      <w:tr w:rsidR="00CD795F">
        <w:tc>
          <w:tcPr>
            <w:tcW w:w="4156" w:type="dxa"/>
          </w:tcPr>
          <w:p w:rsidR="00CD795F" w:rsidRDefault="00DC0677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Делопроизводитель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D795F" w:rsidRDefault="00CD795F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3348" w:type="dxa"/>
          </w:tcPr>
          <w:p w:rsidR="00CD795F" w:rsidRDefault="00DC0677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О. Н. Филенкова</w:t>
            </w:r>
          </w:p>
        </w:tc>
      </w:tr>
      <w:tr w:rsidR="00CD795F">
        <w:tc>
          <w:tcPr>
            <w:tcW w:w="4156" w:type="dxa"/>
          </w:tcPr>
          <w:p w:rsidR="00CD795F" w:rsidRDefault="0083777F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03.03</w:t>
            </w:r>
            <w:r w:rsidR="00F86EB9">
              <w:rPr>
                <w:rFonts w:eastAsia="Arial"/>
              </w:rPr>
              <w:t>.2021</w:t>
            </w:r>
          </w:p>
        </w:tc>
        <w:tc>
          <w:tcPr>
            <w:tcW w:w="144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D795F" w:rsidRDefault="00CD795F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3348" w:type="dxa"/>
          </w:tcPr>
          <w:p w:rsidR="00CD795F" w:rsidRDefault="00CD795F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  <w:tr w:rsidR="00CD795F">
        <w:tc>
          <w:tcPr>
            <w:tcW w:w="4156" w:type="dxa"/>
          </w:tcPr>
          <w:p w:rsidR="00CD795F" w:rsidRDefault="00DC0677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Завхоз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CD795F" w:rsidRDefault="00CD795F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3348" w:type="dxa"/>
          </w:tcPr>
          <w:p w:rsidR="00CD795F" w:rsidRDefault="00DC0677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  <w:r>
              <w:rPr>
                <w:rFonts w:eastAsia="Arial"/>
                <w:color w:val="000000"/>
                <w:sz w:val="20"/>
                <w:szCs w:val="20"/>
              </w:rPr>
              <w:t>С. М. Шагалова</w:t>
            </w:r>
          </w:p>
        </w:tc>
      </w:tr>
      <w:tr w:rsidR="00CD795F">
        <w:tc>
          <w:tcPr>
            <w:tcW w:w="4156" w:type="dxa"/>
          </w:tcPr>
          <w:p w:rsidR="00CD795F" w:rsidRDefault="0083777F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03.03</w:t>
            </w:r>
            <w:r w:rsidR="00F86EB9">
              <w:rPr>
                <w:rFonts w:eastAsia="Arial"/>
              </w:rPr>
              <w:t>.2021</w:t>
            </w:r>
          </w:p>
        </w:tc>
        <w:tc>
          <w:tcPr>
            <w:tcW w:w="1448" w:type="dxa"/>
          </w:tcPr>
          <w:p w:rsidR="00CD795F" w:rsidRDefault="00CD795F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  <w:tc>
          <w:tcPr>
            <w:tcW w:w="3348" w:type="dxa"/>
          </w:tcPr>
          <w:p w:rsidR="00CD795F" w:rsidRDefault="00CD795F" w:rsidP="00DC06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both"/>
              <w:rPr>
                <w:rFonts w:eastAsia="Arial"/>
                <w:color w:val="000000"/>
                <w:sz w:val="20"/>
                <w:szCs w:val="20"/>
              </w:rPr>
            </w:pPr>
          </w:p>
        </w:tc>
      </w:tr>
    </w:tbl>
    <w:p w:rsidR="00CD795F" w:rsidRDefault="00F86EB9" w:rsidP="00DC0677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  <w:r>
        <w:rPr>
          <w:rFonts w:eastAsia="Arial"/>
          <w:color w:val="000000"/>
          <w:sz w:val="20"/>
          <w:szCs w:val="20"/>
        </w:rPr>
        <w:t> </w:t>
      </w:r>
    </w:p>
    <w:p w:rsidR="00CD795F" w:rsidRDefault="00CD795F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</w:p>
    <w:p w:rsidR="00CD795F" w:rsidRDefault="00CD795F" w:rsidP="00DC06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Arial"/>
          <w:color w:val="000000"/>
          <w:sz w:val="20"/>
          <w:szCs w:val="20"/>
        </w:rPr>
      </w:pPr>
    </w:p>
    <w:sectPr w:rsidR="00CD795F" w:rsidSect="009E6C8C"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95F"/>
    <w:rsid w:val="0083777F"/>
    <w:rsid w:val="009E6C8C"/>
    <w:rsid w:val="00CD795F"/>
    <w:rsid w:val="00DC0677"/>
    <w:rsid w:val="00F8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93C198-09EA-41BC-B4BB-0D66249A1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</w:rPr>
  </w:style>
  <w:style w:type="paragraph" w:styleId="1">
    <w:name w:val="heading 1"/>
    <w:basedOn w:val="a"/>
    <w:pPr>
      <w:spacing w:before="100" w:beforeAutospacing="1" w:after="100" w:afterAutospacing="1"/>
    </w:pPr>
    <w:rPr>
      <w:b/>
      <w:bCs/>
      <w:kern w:val="36"/>
      <w:sz w:val="20"/>
      <w:szCs w:val="20"/>
    </w:rPr>
  </w:style>
  <w:style w:type="paragraph" w:styleId="2">
    <w:name w:val="heading 2"/>
    <w:basedOn w:val="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pPr>
      <w:spacing w:before="100" w:beforeAutospacing="1" w:after="100" w:afterAutospacing="1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5">
    <w:name w:val="FollowedHyperlink"/>
    <w:basedOn w:val="a0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0">
    <w:name w:val="Заголовок 1 Знак"/>
    <w:basedOn w:val="a0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20">
    <w:name w:val="Заголовок 2 Знак"/>
    <w:basedOn w:val="a0"/>
    <w:rPr>
      <w:rFonts w:ascii="Cambria" w:eastAsia="Times New Roman" w:hAnsi="Cambria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30">
    <w:name w:val="Заголовок 3 Знак"/>
    <w:basedOn w:val="a0"/>
    <w:rPr>
      <w:rFonts w:ascii="Cambria" w:eastAsia="Times New Roman" w:hAnsi="Cambria" w:cs="Times New Roman"/>
      <w:b/>
      <w:bCs/>
      <w:color w:val="4F81BD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HTML">
    <w:name w:val="HTML Preformatted"/>
    <w:basedOn w:val="a"/>
    <w:qFormat/>
    <w:rPr>
      <w:sz w:val="20"/>
      <w:szCs w:val="20"/>
    </w:rPr>
  </w:style>
  <w:style w:type="character" w:customStyle="1" w:styleId="HTML0">
    <w:name w:val="Стандартный HTML Знак"/>
    <w:basedOn w:val="a0"/>
    <w:rPr>
      <w:rFonts w:ascii="Consolas" w:eastAsia="Times New Roman" w:hAnsi="Consolas"/>
      <w:w w:val="100"/>
      <w:position w:val="-1"/>
      <w:effect w:val="none"/>
      <w:vertAlign w:val="baseline"/>
      <w:cs w:val="0"/>
      <w:em w:val="none"/>
    </w:rPr>
  </w:style>
  <w:style w:type="paragraph" w:styleId="a6">
    <w:name w:val="Normal (Web)"/>
    <w:basedOn w:val="a"/>
    <w:qFormat/>
    <w:pPr>
      <w:spacing w:before="100" w:beforeAutospacing="1" w:after="100" w:afterAutospacing="1"/>
    </w:pPr>
    <w:rPr>
      <w:sz w:val="20"/>
      <w:szCs w:val="20"/>
    </w:rPr>
  </w:style>
  <w:style w:type="paragraph" w:customStyle="1" w:styleId="yrsh">
    <w:name w:val="yrsh"/>
    <w:basedOn w:val="a"/>
    <w:pPr>
      <w:shd w:val="clear" w:color="auto" w:fill="92D050"/>
      <w:spacing w:before="100" w:beforeAutospacing="1" w:after="100" w:afterAutospacing="1"/>
    </w:pPr>
    <w:rPr>
      <w:sz w:val="20"/>
      <w:szCs w:val="20"/>
    </w:rPr>
  </w:style>
  <w:style w:type="paragraph" w:customStyle="1" w:styleId="tabtitle">
    <w:name w:val="tabtitle"/>
    <w:basedOn w:val="a"/>
    <w:pPr>
      <w:shd w:val="clear" w:color="auto" w:fill="28A0C8"/>
      <w:spacing w:before="100" w:beforeAutospacing="1" w:after="100" w:afterAutospacing="1"/>
    </w:pPr>
    <w:rPr>
      <w:sz w:val="20"/>
      <w:szCs w:val="20"/>
    </w:rPr>
  </w:style>
  <w:style w:type="paragraph" w:customStyle="1" w:styleId="header-listtarget">
    <w:name w:val="header-listtarget"/>
    <w:basedOn w:val="a"/>
    <w:pPr>
      <w:shd w:val="clear" w:color="auto" w:fill="E66E5A"/>
      <w:spacing w:before="100" w:beforeAutospacing="1" w:after="100" w:afterAutospacing="1"/>
    </w:pPr>
    <w:rPr>
      <w:sz w:val="20"/>
      <w:szCs w:val="20"/>
    </w:rPr>
  </w:style>
  <w:style w:type="paragraph" w:customStyle="1" w:styleId="bdall">
    <w:name w:val="bdall"/>
    <w:basedOn w:val="a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top">
    <w:name w:val="bdtop"/>
    <w:basedOn w:val="a"/>
    <w:pPr>
      <w:pBdr>
        <w:top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left">
    <w:name w:val="bdleft"/>
    <w:basedOn w:val="a"/>
    <w:pPr>
      <w:pBdr>
        <w:lef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right">
    <w:name w:val="bdright"/>
    <w:basedOn w:val="a"/>
    <w:pPr>
      <w:pBdr>
        <w:right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bdbottom">
    <w:name w:val="bdbottom"/>
    <w:basedOn w:val="a"/>
    <w:pPr>
      <w:pBdr>
        <w:bottom w:val="single" w:sz="8" w:space="0" w:color="000000"/>
      </w:pBdr>
      <w:spacing w:before="100" w:beforeAutospacing="1" w:after="100" w:afterAutospacing="1"/>
    </w:pPr>
    <w:rPr>
      <w:sz w:val="20"/>
      <w:szCs w:val="20"/>
    </w:rPr>
  </w:style>
  <w:style w:type="paragraph" w:customStyle="1" w:styleId="headercell">
    <w:name w:val="headercell"/>
    <w:basedOn w:val="a"/>
    <w:pPr>
      <w:pBdr>
        <w:bottom w:val="double" w:sz="6" w:space="0" w:color="000000"/>
      </w:pBdr>
      <w:spacing w:before="100" w:beforeAutospacing="1" w:after="100" w:afterAutospacing="1"/>
    </w:pPr>
    <w:rPr>
      <w:sz w:val="20"/>
      <w:szCs w:val="20"/>
    </w:rPr>
  </w:style>
  <w:style w:type="character" w:customStyle="1" w:styleId="lspace">
    <w:name w:val="lspace"/>
    <w:basedOn w:val="a0"/>
    <w:rPr>
      <w:color w:val="FF9900"/>
      <w:w w:val="100"/>
      <w:position w:val="-1"/>
      <w:effect w:val="none"/>
      <w:vertAlign w:val="baseline"/>
      <w:cs w:val="0"/>
      <w:em w:val="none"/>
    </w:rPr>
  </w:style>
  <w:style w:type="character" w:customStyle="1" w:styleId="small">
    <w:name w:val="small"/>
    <w:basedOn w:val="a0"/>
    <w:rPr>
      <w:w w:val="100"/>
      <w:position w:val="-1"/>
      <w:sz w:val="15"/>
      <w:szCs w:val="15"/>
      <w:effect w:val="none"/>
      <w:vertAlign w:val="baseline"/>
      <w:cs w:val="0"/>
      <w:em w:val="none"/>
    </w:rPr>
  </w:style>
  <w:style w:type="character" w:customStyle="1" w:styleId="fill">
    <w:name w:val="fill"/>
    <w:basedOn w:val="a0"/>
    <w:rPr>
      <w:b/>
      <w:bCs/>
      <w:i/>
      <w:iCs/>
      <w:color w:val="FF0000"/>
      <w:w w:val="100"/>
      <w:position w:val="-1"/>
      <w:effect w:val="none"/>
      <w:vertAlign w:val="baseline"/>
      <w:cs w:val="0"/>
      <w:em w:val="none"/>
    </w:rPr>
  </w:style>
  <w:style w:type="character" w:customStyle="1" w:styleId="maggd">
    <w:name w:val="maggd"/>
    <w:basedOn w:val="a0"/>
    <w:rPr>
      <w:color w:val="006400"/>
      <w:w w:val="100"/>
      <w:position w:val="-1"/>
      <w:effect w:val="none"/>
      <w:vertAlign w:val="baseline"/>
      <w:cs w:val="0"/>
      <w:em w:val="none"/>
    </w:rPr>
  </w:style>
  <w:style w:type="character" w:customStyle="1" w:styleId="magusn">
    <w:name w:val="magusn"/>
    <w:basedOn w:val="a0"/>
    <w:rPr>
      <w:color w:val="006666"/>
      <w:w w:val="100"/>
      <w:position w:val="-1"/>
      <w:effect w:val="none"/>
      <w:vertAlign w:val="baseline"/>
      <w:cs w:val="0"/>
      <w:em w:val="none"/>
    </w:rPr>
  </w:style>
  <w:style w:type="character" w:customStyle="1" w:styleId="enp">
    <w:name w:val="enp"/>
    <w:basedOn w:val="a0"/>
    <w:rPr>
      <w:color w:val="3C7828"/>
      <w:w w:val="100"/>
      <w:position w:val="-1"/>
      <w:effect w:val="none"/>
      <w:vertAlign w:val="baseline"/>
      <w:cs w:val="0"/>
      <w:em w:val="none"/>
    </w:rPr>
  </w:style>
  <w:style w:type="character" w:customStyle="1" w:styleId="kdkss">
    <w:name w:val="kdkss"/>
    <w:basedOn w:val="a0"/>
    <w:rPr>
      <w:color w:val="BE780A"/>
      <w:w w:val="100"/>
      <w:position w:val="-1"/>
      <w:effect w:val="none"/>
      <w:vertAlign w:val="baseline"/>
      <w:cs w:val="0"/>
      <w:em w:val="none"/>
    </w:rPr>
  </w:style>
  <w:style w:type="paragraph" w:styleId="a7">
    <w:name w:val="Balloon Text"/>
    <w:basedOn w:val="a"/>
    <w:qFormat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a9">
    <w:name w:val="annotation reference"/>
    <w:basedOn w:val="a0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a">
    <w:name w:val="annotation text"/>
    <w:basedOn w:val="a"/>
    <w:qFormat/>
    <w:rPr>
      <w:sz w:val="20"/>
      <w:szCs w:val="20"/>
    </w:rPr>
  </w:style>
  <w:style w:type="character" w:customStyle="1" w:styleId="ab">
    <w:name w:val="Текст примечания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c">
    <w:name w:val="annotation subject"/>
    <w:basedOn w:val="aa"/>
    <w:next w:val="aa"/>
    <w:qFormat/>
    <w:rPr>
      <w:b/>
      <w:bCs/>
    </w:rPr>
  </w:style>
  <w:style w:type="character" w:customStyle="1" w:styleId="ad">
    <w:name w:val="Тема примечания Знак"/>
    <w:basedOn w:val="ab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e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39"/>
    <w:rsid w:val="00DC06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evCAKIGjqus2k7BW1fs9+4VldQ==">AMUW2mW68s6ppivl4lA+gcH+ilPkT/pzzUIni0siMbufZfyD4q9UppsBsa3bn8ilJ+dvEAT4lOvzPiPpwrM3H+/79Sik1kgmUzZdOMAxRhNmlN068eMxVw0=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a.rudakova</dc:creator>
  <cp:lastModifiedBy>OlgaSergeevna</cp:lastModifiedBy>
  <cp:revision>5</cp:revision>
  <cp:lastPrinted>2021-10-12T11:17:00Z</cp:lastPrinted>
  <dcterms:created xsi:type="dcterms:W3CDTF">2019-06-07T09:28:00Z</dcterms:created>
  <dcterms:modified xsi:type="dcterms:W3CDTF">2021-10-12T12:00:00Z</dcterms:modified>
</cp:coreProperties>
</file>