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6D7576" wp14:editId="4B401818">
            <wp:extent cx="6210300" cy="4138746"/>
            <wp:effectExtent l="0" t="0" r="0" b="0"/>
            <wp:docPr id="1" name="Рисунок 1" descr="C:\Users\1\Desktop\Гусева Г.Н\Кружки\фут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усева Г.Н\Кружки\футб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F4" w:rsidRPr="00481E9E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Карта программы по спортивно-оздоровительному направлению.</w:t>
      </w:r>
    </w:p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«Мини-футбол»</w:t>
      </w:r>
    </w:p>
    <w:p w:rsidR="00DD7BF4" w:rsidRPr="00B559F0" w:rsidRDefault="00DD7BF4" w:rsidP="00DD7B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от 11 до 17 лет</w:t>
      </w:r>
    </w:p>
    <w:p w:rsidR="00DD7BF4" w:rsidRPr="00B559F0" w:rsidRDefault="00DD7BF4" w:rsidP="00DD7B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приема: </w:t>
      </w:r>
      <w:r w:rsidRPr="00B559F0">
        <w:rPr>
          <w:rFonts w:ascii="Times New Roman" w:hAnsi="Times New Roman" w:cs="Times New Roman"/>
          <w:bCs/>
          <w:color w:val="000000"/>
          <w:sz w:val="28"/>
          <w:szCs w:val="28"/>
        </w:rPr>
        <w:t>от 12</w:t>
      </w: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до 24 детей</w:t>
      </w:r>
    </w:p>
    <w:p w:rsidR="00DD7BF4" w:rsidRPr="00B559F0" w:rsidRDefault="00DD7BF4" w:rsidP="00DD7B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59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обучения: </w:t>
      </w:r>
      <w:r w:rsidRPr="00B559F0">
        <w:rPr>
          <w:rFonts w:ascii="Times New Roman" w:hAnsi="Times New Roman" w:cs="Times New Roman"/>
          <w:color w:val="000000"/>
          <w:sz w:val="28"/>
          <w:szCs w:val="28"/>
        </w:rPr>
        <w:t>очная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В условиях повышенной учебной нагрузки и дефицита двигательной активности учащихся, особую актуальность приобретает необходимость эффективной организации физкультурно-оздоровительной работы в школе, особенно во внеурочное время. К числу наиболее эффективных средств такой работы, безусловно, относится мини-футбол – любимая игра детей и подростков. Игра, отличающаяся простотой, доступностью и высокой эмоциональностью. Словом, мини-футбол, которым сегодня увлекаются не только мальчики и юноши, но и девочки и девушки, как нельзя лучше приспособлена для развития ее в школе и, следовательно, для кардинального решения проблем двигательной активности и здоровья подрастающего поколения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Педагог: Милютин Михаил Александрович – учитель физической культуры, специалист первой квалификационной категории. Педагогический стаж 4 года.</w:t>
      </w:r>
    </w:p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BF4" w:rsidRPr="00F87577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7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</w:p>
    <w:p w:rsidR="00DD7BF4" w:rsidRPr="00F87577" w:rsidRDefault="00DD7BF4" w:rsidP="00DD7BF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Теоретическая подготовка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 xml:space="preserve">Физическая культура и спорт в России. Развитие футбола в России. Врачебный контроль. Правила игры, организация и проведение соревнований по мини-футболу.                               </w:t>
      </w:r>
    </w:p>
    <w:p w:rsidR="00DD7BF4" w:rsidRPr="00F87577" w:rsidRDefault="00DD7BF4" w:rsidP="00DD7BF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 xml:space="preserve">   Общеразвивающие упражнения без предметов. Упражнения с набивным мячом (</w:t>
      </w:r>
      <w:smartTag w:uri="urn:schemas-microsoft-com:office:smarttags" w:element="metricconverter">
        <w:smartTagPr>
          <w:attr w:name="ProductID" w:val="1 кг"/>
        </w:smartTagPr>
        <w:r w:rsidRPr="00F87577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F87577">
        <w:rPr>
          <w:rFonts w:ascii="Times New Roman" w:hAnsi="Times New Roman" w:cs="Times New Roman"/>
          <w:sz w:val="28"/>
          <w:szCs w:val="28"/>
        </w:rPr>
        <w:t xml:space="preserve">.). Акробатические упражнения. Легкоатлетические упражнения. Подвижные игры. Спортивные игры.  Специальные упражнения для развития быстроты. Специальные упражнения для развития ловкости. </w:t>
      </w:r>
    </w:p>
    <w:p w:rsidR="00DD7BF4" w:rsidRPr="00F87577" w:rsidRDefault="00DD7BF4" w:rsidP="00DD7BF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Техническая подготовка.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.Удары по мячу ногой. Удары по мячу головой. Остановка мяча. Ведение мяча. Обманные движения (финты). Отбор мяча. Техника игры вратаря.</w:t>
      </w:r>
    </w:p>
    <w:p w:rsidR="00DD7BF4" w:rsidRPr="00F87577" w:rsidRDefault="00DD7BF4" w:rsidP="00DD7BF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Тактическая подготовка.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Упражнения для развития умения «видеть поле». Групповые действия. Командные действия. Индивидуальные действия. Групповые действия. Тактика вратаря.</w:t>
      </w:r>
    </w:p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7577">
        <w:rPr>
          <w:rFonts w:ascii="Times New Roman" w:hAnsi="Times New Roman" w:cs="Times New Roman"/>
          <w:sz w:val="28"/>
          <w:szCs w:val="28"/>
        </w:rPr>
        <w:t>формировать потребность в самостоятельном использования физических упражнений, закаливающих процедур и гигиенических требований в целях поддержания высокой работоспособности во всех периодах жизни; воспитания навыков самостоятельных занятий и умения вести здоровый образ жизни.</w:t>
      </w:r>
    </w:p>
    <w:p w:rsidR="00DD7BF4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E9E">
        <w:rPr>
          <w:rFonts w:ascii="Times New Roman" w:hAnsi="Times New Roman" w:cs="Times New Roman"/>
          <w:sz w:val="28"/>
          <w:szCs w:val="28"/>
        </w:rPr>
        <w:t>У</w:t>
      </w:r>
      <w:r w:rsidRPr="00F87577">
        <w:rPr>
          <w:rFonts w:ascii="Times New Roman" w:hAnsi="Times New Roman" w:cs="Times New Roman"/>
          <w:sz w:val="28"/>
          <w:szCs w:val="28"/>
        </w:rPr>
        <w:t>крепление здоровья и закаливание организма, привитие интереса к систематическим занятиям мини-футболом;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77">
        <w:rPr>
          <w:rFonts w:ascii="Times New Roman" w:hAnsi="Times New Roman" w:cs="Times New Roman"/>
          <w:sz w:val="28"/>
          <w:szCs w:val="28"/>
        </w:rPr>
        <w:t>обеспечение всесторонней физической подготовки с преимущественным развитием быстроты, ловкости и координации движений; овладение основами технических приёмов, которые наиболее часто и эффективно применяются в игре, и основами индивидуальной, групповой и командной тактики игры в мини-футбол; освоение процесса игры в соответствии с правилами мини-футбола; изучение элементарных теоретических сведений о личной гигиене, истории футбола, технике и тактике, правил игры в мини-футбол.</w:t>
      </w:r>
    </w:p>
    <w:p w:rsidR="00DD7BF4" w:rsidRPr="00481E9E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DD7BF4" w:rsidRPr="00F87577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87577">
        <w:rPr>
          <w:rFonts w:ascii="Times New Roman" w:hAnsi="Times New Roman" w:cs="Times New Roman"/>
          <w:sz w:val="28"/>
          <w:szCs w:val="28"/>
        </w:rPr>
        <w:t>ыработка оптимальных двигательных режимов для детей с учетом их возрастных, психологических и иных особенностей, развитие потребности заниматься физической культурой и спортом;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77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собственном здоровье;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577">
        <w:rPr>
          <w:rFonts w:ascii="Times New Roman" w:hAnsi="Times New Roman" w:cs="Times New Roman"/>
          <w:sz w:val="28"/>
          <w:szCs w:val="28"/>
        </w:rPr>
        <w:t>формирование знания негативных факторов риска здоровью.</w:t>
      </w:r>
    </w:p>
    <w:p w:rsidR="00DD7BF4" w:rsidRPr="00481E9E" w:rsidRDefault="00DD7BF4" w:rsidP="00DD7BF4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E9E">
        <w:rPr>
          <w:rFonts w:ascii="Times New Roman" w:hAnsi="Times New Roman" w:cs="Times New Roman"/>
          <w:b/>
          <w:sz w:val="28"/>
          <w:szCs w:val="28"/>
        </w:rPr>
        <w:t>Материально - техническая база.</w:t>
      </w:r>
    </w:p>
    <w:p w:rsidR="00DD7BF4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F87577">
        <w:rPr>
          <w:rFonts w:ascii="Times New Roman" w:hAnsi="Times New Roman" w:cs="Times New Roman"/>
          <w:sz w:val="28"/>
          <w:szCs w:val="28"/>
        </w:rPr>
        <w:t>Спортзал, спортивный инвентарь.</w:t>
      </w:r>
    </w:p>
    <w:p w:rsidR="00DD7BF4" w:rsidRDefault="00DD7BF4" w:rsidP="00DD7BF4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477930" w:rsidRDefault="00477930">
      <w:bookmarkStart w:id="0" w:name="_GoBack"/>
      <w:bookmarkEnd w:id="0"/>
    </w:p>
    <w:sectPr w:rsidR="0047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C0B77"/>
    <w:multiLevelType w:val="hybridMultilevel"/>
    <w:tmpl w:val="B88A319E"/>
    <w:lvl w:ilvl="0" w:tplc="DE34E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529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A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E4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F8E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29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67"/>
    <w:rsid w:val="00477930"/>
    <w:rsid w:val="00C53E67"/>
    <w:rsid w:val="00D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13DBF-A973-4C6A-BE5D-9686CB52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2021-02-16T04:59:00Z</dcterms:created>
  <dcterms:modified xsi:type="dcterms:W3CDTF">2021-02-16T05:00:00Z</dcterms:modified>
</cp:coreProperties>
</file>